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1"/>
          <w:sz w:val="44"/>
          <w:szCs w:val="44"/>
        </w:rPr>
        <w:t>黑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</w:rPr>
        <w:t>龙江省北安监狱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提请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假释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建议书</w:t>
      </w:r>
    </w:p>
    <w:p>
      <w:pPr>
        <w:spacing w:before="1" w:line="560" w:lineRule="exact"/>
        <w:jc w:val="center"/>
        <w:rPr>
          <w:rFonts w:ascii="微软雅黑" w:hAnsi="微软雅黑" w:eastAsia="微软雅黑" w:cs="微软雅黑"/>
          <w:spacing w:val="9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)黑北狱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字第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罪犯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刘长庆</w:t>
      </w:r>
      <w:r>
        <w:rPr>
          <w:rFonts w:hint="eastAsia" w:ascii="仿宋" w:hAnsi="仿宋" w:eastAsia="仿宋" w:cs="仿宋"/>
          <w:sz w:val="32"/>
          <w:szCs w:val="32"/>
        </w:rPr>
        <w:t>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1965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日出生，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"/>
          <w:sz w:val="32"/>
          <w:szCs w:val="32"/>
        </w:rPr>
        <w:t>族，住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澧县澧东乡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广东省中山市中级</w:t>
      </w:r>
      <w:r>
        <w:rPr>
          <w:rFonts w:hint="eastAsia" w:ascii="仿宋" w:hAnsi="仿宋" w:eastAsia="仿宋" w:cs="仿宋"/>
          <w:sz w:val="32"/>
          <w:szCs w:val="32"/>
        </w:rPr>
        <w:t>人民法院作出(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中中法</w:t>
      </w:r>
      <w:r>
        <w:rPr>
          <w:rFonts w:hint="eastAsia" w:ascii="仿宋" w:hAnsi="仿宋" w:eastAsia="仿宋" w:cs="仿宋"/>
          <w:sz w:val="32"/>
          <w:szCs w:val="32"/>
        </w:rPr>
        <w:t>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63号</w:t>
      </w:r>
      <w:r>
        <w:rPr>
          <w:rFonts w:hint="eastAsia" w:ascii="仿宋" w:hAnsi="仿宋" w:eastAsia="仿宋" w:cs="仿宋"/>
          <w:sz w:val="32"/>
          <w:szCs w:val="32"/>
        </w:rPr>
        <w:t>刑事判决，认定被告人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刘长庆</w:t>
      </w:r>
      <w:r>
        <w:rPr>
          <w:rFonts w:hint="eastAsia" w:ascii="仿宋" w:hAnsi="仿宋" w:eastAsia="仿宋" w:cs="仿宋"/>
          <w:sz w:val="32"/>
          <w:szCs w:val="32"/>
        </w:rPr>
        <w:t>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贩卖毒品</w:t>
      </w:r>
      <w:r>
        <w:rPr>
          <w:rFonts w:hint="eastAsia" w:ascii="仿宋" w:hAnsi="仿宋" w:eastAsia="仿宋" w:cs="仿宋"/>
          <w:sz w:val="32"/>
          <w:szCs w:val="32"/>
        </w:rPr>
        <w:t>罪，判处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有期徒刑十五年，并处没收财产人民币十万元。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刑期自2013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起至2028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止。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该犯于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广东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四会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监狱，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黑龙江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北安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监狱。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刑</w:t>
      </w:r>
      <w:r>
        <w:rPr>
          <w:rFonts w:hint="eastAsia" w:ascii="仿宋" w:hAnsi="仿宋" w:eastAsia="仿宋" w:cs="仿宋"/>
          <w:sz w:val="32"/>
          <w:szCs w:val="32"/>
        </w:rPr>
        <w:t>期变动情况：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黑龙江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黑河市中级人民法院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日作出(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"/>
          <w:sz w:val="32"/>
          <w:szCs w:val="32"/>
        </w:rPr>
        <w:t>)黑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刑更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2027</w:t>
      </w:r>
      <w:r>
        <w:rPr>
          <w:rFonts w:hint="eastAsia" w:ascii="仿宋" w:hAnsi="仿宋" w:eastAsia="仿宋" w:cs="仿宋"/>
          <w:sz w:val="32"/>
          <w:szCs w:val="32"/>
        </w:rPr>
        <w:t>号刑事裁定，对该犯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减去有期徒刑八个月。黑龙江省黑河市中级人民法院于2018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日作出(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)黑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刑更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1973</w:t>
      </w:r>
      <w:r>
        <w:rPr>
          <w:rFonts w:hint="eastAsia" w:ascii="仿宋" w:hAnsi="仿宋" w:eastAsia="仿宋" w:cs="仿宋"/>
          <w:sz w:val="32"/>
          <w:szCs w:val="32"/>
        </w:rPr>
        <w:t>号刑事裁定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不予减刑。黑龙江省黑河市中级人民法院于2019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日作出(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)黑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刑更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1075刑事裁定，</w:t>
      </w:r>
      <w:r>
        <w:rPr>
          <w:rFonts w:hint="eastAsia" w:ascii="仿宋" w:hAnsi="仿宋" w:eastAsia="仿宋" w:cs="仿宋"/>
          <w:sz w:val="32"/>
          <w:szCs w:val="32"/>
        </w:rPr>
        <w:t>对该犯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减去有期徒刑八个月。黑龙江省黑河市中级人民法院于2022年8月6日作出（2022）黑11刑更8号刑事裁定，对该犯减去有期徒刑九个月。现刑期自2013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起至2025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该犯在近期服刑改造期间确有悔改表现，具体事实如下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该犯在近期服刑改造期间，确有悔改表现，认罪悔罪，遵守法律法规及监规，接受教育改造，积极参加思想、文化、职业技术教育，积极参加劳动，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现劳动工种为装卸队，能够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努力完成劳动任务。计分考核情况；该犯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月获得考核积分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2957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次表扬，剩余积分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557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分，其中年考核分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1222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奖惩情况：2022年9月9日，我监区在“百日无违纪竞赛”活动中获得优秀监区，给予该犯专项加分9分奖励。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监狱对其再犯罪风险评估结果为：罪犯刘长庆再犯罪可能性程度为一般等级。湖南省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澧县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社区矫正工作局调查评估意见为建议适用社区矫正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综上所述，该犯实际执行刑期过半，能够认罪悔罪；遵守法律法规及监规，接受教育改造，确有悔改表现，符合假释的法定条件。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第八十一条第一款</w:t>
      </w:r>
      <w:r>
        <w:rPr>
          <w:rFonts w:hint="eastAsia" w:ascii="仿宋" w:hAnsi="仿宋" w:eastAsia="仿宋" w:cs="仿宋"/>
          <w:sz w:val="32"/>
          <w:szCs w:val="32"/>
        </w:rPr>
        <w:t>，《中华人民共和国刑事诉讼法》第二百七十三条第二款和《中华人民共和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</w:t>
      </w:r>
      <w:r>
        <w:rPr>
          <w:rFonts w:hint="eastAsia" w:ascii="仿宋" w:hAnsi="仿宋" w:eastAsia="仿宋" w:cs="仿宋"/>
          <w:sz w:val="32"/>
          <w:szCs w:val="32"/>
        </w:rPr>
        <w:t>监狱法》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第三十二</w:t>
      </w:r>
      <w:r>
        <w:rPr>
          <w:rFonts w:hint="eastAsia" w:ascii="仿宋" w:hAnsi="仿宋" w:eastAsia="仿宋" w:cs="仿宋"/>
          <w:sz w:val="32"/>
          <w:szCs w:val="32"/>
        </w:rPr>
        <w:t>条的规定，建议对罪犯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刘长庆</w:t>
      </w:r>
      <w:r>
        <w:rPr>
          <w:rFonts w:hint="eastAsia" w:ascii="仿宋" w:hAnsi="仿宋" w:eastAsia="仿宋" w:cs="仿宋"/>
          <w:sz w:val="32"/>
          <w:szCs w:val="32"/>
        </w:rPr>
        <w:t>予以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假释</w:t>
      </w:r>
      <w:r>
        <w:rPr>
          <w:rFonts w:hint="eastAsia" w:ascii="仿宋" w:hAnsi="仿宋" w:eastAsia="仿宋" w:cs="仿宋"/>
          <w:sz w:val="32"/>
          <w:szCs w:val="32"/>
        </w:rPr>
        <w:t>。特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提请</w:t>
      </w:r>
      <w:r>
        <w:rPr>
          <w:rFonts w:hint="eastAsia" w:ascii="仿宋" w:hAnsi="仿宋" w:eastAsia="仿宋" w:cs="仿宋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黑河市中级</w:t>
      </w:r>
      <w:r>
        <w:rPr>
          <w:rFonts w:hint="eastAsia" w:ascii="仿宋" w:hAnsi="仿宋" w:eastAsia="仿宋" w:cs="仿宋"/>
          <w:sz w:val="32"/>
          <w:szCs w:val="32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840" w:rightChars="400" w:firstLine="0" w:firstLineChars="0"/>
        <w:jc w:val="righ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黑龙江省北安监狱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 w:firstLine="0" w:firstLineChars="0"/>
        <w:jc w:val="righ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十四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附：罪犯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刘长庆</w:t>
      </w:r>
      <w:r>
        <w:rPr>
          <w:rFonts w:hint="eastAsia" w:ascii="仿宋" w:hAnsi="仿宋" w:eastAsia="仿宋" w:cs="仿宋"/>
          <w:sz w:val="32"/>
          <w:szCs w:val="32"/>
        </w:rPr>
        <w:t>卷宗材料共一卷</w:t>
      </w:r>
    </w:p>
    <w:p/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44"/>
          <w:szCs w:val="44"/>
          <w:lang w:eastAsia="en-US"/>
        </w:rPr>
        <w:t>黑龙江省</w:t>
      </w: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44"/>
          <w:szCs w:val="44"/>
          <w:lang w:val="en-US" w:eastAsia="zh-CN"/>
        </w:rPr>
        <w:t>凤凰山</w:t>
      </w: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44"/>
          <w:szCs w:val="44"/>
          <w:lang w:eastAsia="en-US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44"/>
          <w:szCs w:val="44"/>
          <w:lang w:val="en-US" w:eastAsia="zh-CN"/>
        </w:rPr>
        <w:t>提请假释</w:t>
      </w:r>
      <w:r>
        <w:rPr>
          <w:rFonts w:hint="eastAsia" w:ascii="黑体" w:hAnsi="黑体" w:eastAsia="黑体" w:cs="黑体"/>
          <w:b w:val="0"/>
          <w:bCs/>
          <w:snapToGrid w:val="0"/>
          <w:color w:val="000000"/>
          <w:kern w:val="0"/>
          <w:sz w:val="44"/>
          <w:szCs w:val="44"/>
          <w:lang w:eastAsia="en-US"/>
        </w:rPr>
        <w:t>建议书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7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7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napToGrid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0"/>
          <w:szCs w:val="30"/>
          <w:lang w:val="en-US" w:eastAsia="zh-CN"/>
        </w:rPr>
        <w:t>（2024)黑凤狱假字第1号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罪犯杜立春,男，1972年1月6日出生，汉族，住址黑龙江省嫩江市。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2013年9月5日黑龙江省黑河市中级人民法院作出（2013）黑中刑一初字第17号刑事判决，认定被告人杜立春犯故意伤害罪，判处有期徒刑十五年，剥夺政治权利五年。刑期自2012年11月6日起至2027年11月5日止。在法定期限内没有上诉、抗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该犯于2013年10月30日入黑龙江省北安监狱入监集训监区集训,2013年12月5日入凤凰山监狱六监区服刑改造。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刑期变动情况：黑河市中级人民法院于2016年1月26日作出（2016）黑11刑更705号刑事裁定，对该犯减去有期徒刑一年，剥夺政治权利五年不变；黑河市中级人民法院于2017年12月6日作出（2017）黑11刑更786号刑事裁定，对该犯减去有期徒刑九个月，剥夺政治权利五年不变；黑河市中级人民法院于2020年1月14日作出（2020）黑11刑更339号刑事裁定，对该犯减去有期徒刑八个月十五天，剥夺政治权利五年不变；黑河市中级人民法院于2022年11月16日作出（2022）黑11刑更345号刑事裁定，对该犯减去有期徒刑八个月十五天，剥夺政治权利五年不变。现刑期自2012年11月6日起至2024年9月5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该犯在服刑改造期间，认罪悔罪，认真遵守法律法规及监 规，接受教育改造，积极参加思想、文化、职业技术教育，积极参加劳动，努力完成劳动任务。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2023年2月至2024年2月在生产劳动中担任无劳动定额劳役，岗位为值星员，能够认真完成劳动任务。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在计分考核中，该犯202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月至2024年2月，获得考核积分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3145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分，给予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次表扬、物质奖励1次，剩余积分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分，其中年考核分12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分。奖励情况：2022年9月参加“喜迎二十大 欢歌颂祖国”主题大合唱比赛活动，获得集体第二名，给予专项加分 4 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监狱对其再犯风险评估为一般危险,黑龙江省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嫩江市社区矫正管理局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调查评估意见为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>罪犯杜立春假释后可与其胞弟一起生活，有固定住所，犯罪前表现较好，未修习法轮功等邪教组织，适用社区矫正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综上所述，该犯实际执行刑期过半，能够认罪悔罪;遵守法律法规及监规，接受教育改造，确有悔改表现，符合假释的法定条件。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为此，根据《中华人民共和国刑法》第八十一条第一款，《中华人民共和国刑事诉讼法》第二百七十三条第二款和《中华人民共和国监狱法》第三十二条的规定，建议对罪犯杜立春予以假释。特提请审核裁定。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黑河市中级人民法院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460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5"/>
          <w:kern w:val="0"/>
          <w:position w:val="18"/>
          <w:sz w:val="31"/>
          <w:szCs w:val="31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460" w:lineRule="exact"/>
        <w:jc w:val="center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8"/>
          <w:sz w:val="31"/>
          <w:szCs w:val="31"/>
          <w:lang w:val="en-US" w:eastAsia="zh-CN"/>
        </w:rPr>
        <w:t xml:space="preserve">                         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position w:val="18"/>
          <w:sz w:val="31"/>
          <w:szCs w:val="31"/>
          <w:lang w:eastAsia="en-US"/>
        </w:rPr>
        <w:t>黑龙江省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position w:val="18"/>
          <w:sz w:val="31"/>
          <w:szCs w:val="31"/>
          <w:lang w:eastAsia="zh-CN"/>
        </w:rPr>
        <w:t>凤凰山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position w:val="18"/>
          <w:sz w:val="31"/>
          <w:szCs w:val="31"/>
          <w:lang w:eastAsia="en-US"/>
        </w:rPr>
        <w:t>监狱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60" w:lineRule="exact"/>
        <w:ind w:left="4682" w:firstLine="300" w:firstLineChars="1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en-US"/>
        </w:rPr>
        <w:t>二</w:t>
      </w:r>
      <w:r>
        <w:rPr>
          <w:rFonts w:ascii="仿宋" w:hAnsi="仿宋" w:eastAsia="仿宋" w:cs="仿宋"/>
          <w:snapToGrid w:val="0"/>
          <w:color w:val="000000"/>
          <w:spacing w:val="-113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en-US"/>
        </w:rPr>
        <w:t>○二</w:t>
      </w:r>
      <w:r>
        <w:rPr>
          <w:rFonts w:ascii="仿宋" w:hAnsi="仿宋" w:eastAsia="仿宋" w:cs="仿宋"/>
          <w:snapToGrid w:val="0"/>
          <w:color w:val="000000"/>
          <w:spacing w:val="-95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zh-CN"/>
        </w:rPr>
        <w:t>四</w:t>
      </w: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en-US"/>
        </w:rPr>
        <w:t>年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val="en-US" w:eastAsia="zh-CN"/>
        </w:rPr>
        <w:t>五</w:t>
      </w: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en-US"/>
        </w:rPr>
        <w:t>月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val="en-US" w:eastAsia="zh-CN"/>
        </w:rPr>
        <w:t>七</w:t>
      </w: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en-US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460" w:lineRule="exact"/>
        <w:ind w:left="46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28" w:line="460" w:lineRule="exact"/>
        <w:ind w:left="46"/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附：罪犯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zh-CN"/>
        </w:rPr>
        <w:t>杜立春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卷宗材料共一</w:t>
      </w:r>
      <w:r>
        <w:rPr>
          <w:rFonts w:hint="eastAsia" w:ascii="仿宋" w:hAnsi="仿宋" w:eastAsia="仿宋" w:cs="仿宋_GB2312"/>
          <w:snapToGrid w:val="0"/>
          <w:color w:val="000000"/>
          <w:kern w:val="0"/>
          <w:sz w:val="32"/>
          <w:szCs w:val="32"/>
          <w:lang w:eastAsia="en-US"/>
        </w:rPr>
        <w:t>卷</w:t>
      </w:r>
    </w:p>
    <w:sectPr>
      <w:footerReference r:id="rId3" w:type="default"/>
      <w:pgSz w:w="11906" w:h="16838"/>
      <w:pgMar w:top="2098" w:right="1474" w:bottom="1984" w:left="1587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Calibri" w:hAnsi="Calibri" w:eastAsia="Calibri" w:cs="Calibri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B3F1E43"/>
    <w:rsid w:val="77447DE0"/>
    <w:rsid w:val="7FED33FE"/>
    <w:rsid w:val="E1FD8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A丁丁洋带你俄罗斯go</cp:lastModifiedBy>
  <dcterms:modified xsi:type="dcterms:W3CDTF">2024-05-22T01:36:51Z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3C7F1BB7095D4DE59B310B036A6B961C_13</vt:lpwstr>
  </property>
</Properties>
</file>